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文件编号：QP-019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6 页</w:t>
      </w:r>
    </w:p>
    <w:p/>
    <w:p>
      <w:pPr>
        <w:pStyle w:val="Title"/>
        <w:jc w:val="center"/>
      </w:pPr>
      <w:r>
        <w:t>标识和可追溯性控制程序</w:t>
      </w:r>
    </w:p>
    <w:p/>
    <w:p>
      <w:pPr>
        <w:pStyle w:val="Heading1"/>
      </w:pPr>
      <w:r>
        <w:t>1. 目的</w:t>
      </w:r>
    </w:p>
    <w:p>
      <w:r>
        <w:t>为对产品进行标识和可追溯性管理，防止产品混淆，确保需要时可追溯，特制定本程序。</w:t>
      </w:r>
    </w:p>
    <w:p>
      <w:pPr>
        <w:pStyle w:val="Heading1"/>
      </w:pPr>
      <w:r>
        <w:t>2. 范围</w:t>
      </w:r>
    </w:p>
    <w:p>
      <w:r>
        <w:t>本程序适用于公司内所有产品的标识和可追溯性管理，包括原材料、半成品和成品。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产品标识</w:t>
            </w:r>
          </w:p>
        </w:tc>
        <w:tc>
          <w:tcPr>
            <w:tcW w:type="dxa" w:w="4153"/>
          </w:tcPr>
          <w:p>
            <w:r>
              <w:t>识别产品名称、规格、批次等的标记</w:t>
            </w:r>
          </w:p>
        </w:tc>
      </w:tr>
      <w:tr>
        <w:tc>
          <w:tcPr>
            <w:tcW w:type="dxa" w:w="4153"/>
          </w:tcPr>
          <w:p>
            <w:r>
              <w:t>可追溯性</w:t>
            </w:r>
          </w:p>
        </w:tc>
        <w:tc>
          <w:tcPr>
            <w:tcW w:type="dxa" w:w="4153"/>
          </w:tcPr>
          <w:p>
            <w:r>
              <w:t>追溯产品历史、应用情况或位置的能力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质量部</w:t>
      </w:r>
    </w:p>
    <w:p>
      <w:pPr>
        <w:pStyle w:val="ListBullet"/>
      </w:pPr>
      <w:r>
        <w:t>归口管理标识和可追溯性工作</w:t>
      </w:r>
    </w:p>
    <w:p>
      <w:pPr>
        <w:pStyle w:val="ListBullet"/>
      </w:pPr>
      <w:r>
        <w:t>监督标识执行情况</w:t>
      </w:r>
    </w:p>
    <w:p>
      <w:pPr>
        <w:pStyle w:val="Heading2"/>
      </w:pPr>
      <w:r>
        <w:t>4.2 生产部</w:t>
      </w:r>
    </w:p>
    <w:p>
      <w:pPr>
        <w:pStyle w:val="ListBullet"/>
      </w:pPr>
      <w:r>
        <w:t>负责生产过程中的产品标识</w:t>
      </w:r>
    </w:p>
    <w:p>
      <w:pPr>
        <w:pStyle w:val="ListBullet"/>
      </w:pPr>
      <w:r>
        <w:t>负责可追溯性记录</w:t>
      </w:r>
    </w:p>
    <w:p>
      <w:pPr>
        <w:pStyle w:val="Heading2"/>
      </w:pPr>
      <w:r>
        <w:t>4.3 仓库</w:t>
      </w:r>
    </w:p>
    <w:p>
      <w:pPr>
        <w:pStyle w:val="ListBullet"/>
      </w:pPr>
      <w:r>
        <w:t>负责库存产品的标识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产品标识</w:t>
      </w:r>
    </w:p>
    <w:p>
      <w:pPr>
        <w:pStyle w:val="Heading3"/>
      </w:pPr>
      <w:r>
        <w:t>5.1.1 原材料标识</w:t>
      </w:r>
    </w:p>
    <w:p>
      <w:pPr>
        <w:pStyle w:val="ListBullet"/>
      </w:pPr>
      <w:r>
        <w:t>入库时贴物料标签</w:t>
      </w:r>
    </w:p>
    <w:p>
      <w:pPr>
        <w:pStyle w:val="ListBullet"/>
      </w:pPr>
      <w:r>
        <w:t>标识内容：名称、规格、批次、数量、供应商</w:t>
      </w:r>
    </w:p>
    <w:p>
      <w:pPr>
        <w:pStyle w:val="ListBullet"/>
      </w:pPr>
      <w:r>
        <w:t>检验状态标识：合格、不合格、待检</w:t>
      </w:r>
    </w:p>
    <w:p>
      <w:pPr>
        <w:pStyle w:val="Heading3"/>
      </w:pPr>
      <w:r>
        <w:t>5.1.2 半成品标识</w:t>
      </w:r>
    </w:p>
    <w:p>
      <w:pPr>
        <w:pStyle w:val="ListBullet"/>
      </w:pPr>
      <w:r>
        <w:t>工序流转卡标识</w:t>
      </w:r>
    </w:p>
    <w:p>
      <w:pPr>
        <w:pStyle w:val="ListBullet"/>
      </w:pPr>
      <w:r>
        <w:t>标识内容：产品名称、工序、操作者、日期</w:t>
      </w:r>
    </w:p>
    <w:p>
      <w:pPr>
        <w:pStyle w:val="Heading3"/>
      </w:pPr>
      <w:r>
        <w:t>5.1.3 成品标识</w:t>
      </w:r>
    </w:p>
    <w:p>
      <w:pPr>
        <w:pStyle w:val="ListBullet"/>
      </w:pPr>
      <w:r>
        <w:t>成品标签或合格证</w:t>
      </w:r>
    </w:p>
    <w:p>
      <w:pPr>
        <w:pStyle w:val="ListBullet"/>
      </w:pPr>
      <w:r>
        <w:t>标识内容：名称、规格、批次、检验员</w:t>
      </w:r>
    </w:p>
    <w:p>
      <w:pPr>
        <w:pStyle w:val="Heading2"/>
      </w:pPr>
      <w:r>
        <w:t>5.2 标识方法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方法</w:t>
            </w:r>
          </w:p>
        </w:tc>
        <w:tc>
          <w:tcPr>
            <w:tcW w:type="dxa" w:w="4153"/>
          </w:tcPr>
          <w:p>
            <w:r>
              <w:t>适用场合</w:t>
            </w:r>
          </w:p>
        </w:tc>
      </w:tr>
      <w:tr>
        <w:tc>
          <w:tcPr>
            <w:tcW w:type="dxa" w:w="4153"/>
          </w:tcPr>
          <w:p>
            <w:r>
              <w:t>标签</w:t>
            </w:r>
          </w:p>
        </w:tc>
        <w:tc>
          <w:tcPr>
            <w:tcW w:type="dxa" w:w="4153"/>
          </w:tcPr>
          <w:p>
            <w:r>
              <w:t>原材料、成品</w:t>
            </w:r>
          </w:p>
        </w:tc>
      </w:tr>
      <w:tr>
        <w:tc>
          <w:tcPr>
            <w:tcW w:type="dxa" w:w="4153"/>
          </w:tcPr>
          <w:p>
            <w:r>
              <w:t>流转卡</w:t>
            </w:r>
          </w:p>
        </w:tc>
        <w:tc>
          <w:tcPr>
            <w:tcW w:type="dxa" w:w="4153"/>
          </w:tcPr>
          <w:p>
            <w:r>
              <w:t>半成品流转</w:t>
            </w:r>
          </w:p>
        </w:tc>
      </w:tr>
      <w:tr>
        <w:tc>
          <w:tcPr>
            <w:tcW w:type="dxa" w:w="4153"/>
          </w:tcPr>
          <w:p>
            <w:r>
              <w:t>区域标识</w:t>
            </w:r>
          </w:p>
        </w:tc>
        <w:tc>
          <w:tcPr>
            <w:tcW w:type="dxa" w:w="4153"/>
          </w:tcPr>
          <w:p>
            <w:r>
              <w:t>存放区域</w:t>
            </w:r>
          </w:p>
        </w:tc>
      </w:tr>
      <w:tr>
        <w:tc>
          <w:tcPr>
            <w:tcW w:type="dxa" w:w="4153"/>
          </w:tcPr>
          <w:p>
            <w:r>
              <w:t>颜色标识</w:t>
            </w:r>
          </w:p>
        </w:tc>
        <w:tc>
          <w:tcPr>
            <w:tcW w:type="dxa" w:w="4153"/>
          </w:tcPr>
          <w:p>
            <w:r>
              <w:t>检验状态</w:t>
            </w:r>
          </w:p>
        </w:tc>
      </w:tr>
      <w:tr>
        <w:tc>
          <w:tcPr>
            <w:tcW w:type="dxa" w:w="4153"/>
          </w:tcPr>
          <w:p>
            <w:r>
              <w:t>直接标记</w:t>
            </w:r>
          </w:p>
        </w:tc>
        <w:tc>
          <w:tcPr>
            <w:tcW w:type="dxa" w:w="4153"/>
          </w:tcPr>
          <w:p>
            <w:r>
              <w:t>大型产品</w:t>
            </w:r>
          </w:p>
        </w:tc>
      </w:tr>
    </w:tbl>
    <w:p>
      <w:pPr>
        <w:pStyle w:val="Heading2"/>
      </w:pPr>
      <w:r>
        <w:t>5.3 检验状态标识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状态</w:t>
            </w:r>
          </w:p>
        </w:tc>
        <w:tc>
          <w:tcPr>
            <w:tcW w:type="dxa" w:w="4153"/>
          </w:tcPr>
          <w:p>
            <w:r>
              <w:t>标识颜色</w:t>
            </w:r>
          </w:p>
        </w:tc>
      </w:tr>
      <w:tr>
        <w:tc>
          <w:tcPr>
            <w:tcW w:type="dxa" w:w="4153"/>
          </w:tcPr>
          <w:p>
            <w:r>
              <w:t>合格</w:t>
            </w:r>
          </w:p>
        </w:tc>
        <w:tc>
          <w:tcPr>
            <w:tcW w:type="dxa" w:w="4153"/>
          </w:tcPr>
          <w:p>
            <w:r>
              <w:t>绿色</w:t>
            </w:r>
          </w:p>
        </w:tc>
      </w:tr>
      <w:tr>
        <w:tc>
          <w:tcPr>
            <w:tcW w:type="dxa" w:w="4153"/>
          </w:tcPr>
          <w:p>
            <w:r>
              <w:t>不合格</w:t>
            </w:r>
          </w:p>
        </w:tc>
        <w:tc>
          <w:tcPr>
            <w:tcW w:type="dxa" w:w="4153"/>
          </w:tcPr>
          <w:p>
            <w:r>
              <w:t>红色</w:t>
            </w:r>
          </w:p>
        </w:tc>
      </w:tr>
      <w:tr>
        <w:tc>
          <w:tcPr>
            <w:tcW w:type="dxa" w:w="4153"/>
          </w:tcPr>
          <w:p>
            <w:r>
              <w:t>待检</w:t>
            </w:r>
          </w:p>
        </w:tc>
        <w:tc>
          <w:tcPr>
            <w:tcW w:type="dxa" w:w="4153"/>
          </w:tcPr>
          <w:p>
            <w:r>
              <w:t>黄色</w:t>
            </w:r>
          </w:p>
        </w:tc>
      </w:tr>
    </w:tbl>
    <w:p>
      <w:pPr>
        <w:pStyle w:val="Heading2"/>
      </w:pPr>
      <w:r>
        <w:t>5.4 可追溯性管理</w:t>
      </w:r>
    </w:p>
    <w:p>
      <w:pPr>
        <w:pStyle w:val="Heading3"/>
      </w:pPr>
      <w:r>
        <w:t>5.4.1 追溯范围</w:t>
      </w:r>
    </w:p>
    <w:p>
      <w:pPr>
        <w:pStyle w:val="ListBullet"/>
      </w:pPr>
      <w:r>
        <w:t>原材料来源追溯</w:t>
      </w:r>
    </w:p>
    <w:p>
      <w:pPr>
        <w:pStyle w:val="ListBullet"/>
      </w:pPr>
      <w:r>
        <w:t>生产过程追溯</w:t>
      </w:r>
    </w:p>
    <w:p>
      <w:pPr>
        <w:pStyle w:val="ListBullet"/>
      </w:pPr>
      <w:r>
        <w:t>成品去向追溯</w:t>
      </w:r>
    </w:p>
    <w:p>
      <w:pPr>
        <w:pStyle w:val="Heading3"/>
      </w:pPr>
      <w:r>
        <w:t>5.4.2 追溯记录</w:t>
      </w:r>
    </w:p>
    <w:p>
      <w:pPr>
        <w:pStyle w:val="ListBullet"/>
      </w:pPr>
      <w:r>
        <w:t>建立《产品追溯记录》（FM-087）</w:t>
      </w:r>
    </w:p>
    <w:p>
      <w:pPr>
        <w:pStyle w:val="ListBullet"/>
      </w:pPr>
      <w:r>
        <w:t>记录内容：批次、数量、工序、操作者、检验结果</w:t>
      </w:r>
    </w:p>
    <w:p>
      <w:pPr>
        <w:pStyle w:val="ListBullet"/>
      </w:pPr>
      <w:r>
        <w:t>记录保存期限：3 年</w:t>
      </w:r>
    </w:p>
    <w:p>
      <w:pPr>
        <w:pStyle w:val="Heading3"/>
      </w:pPr>
      <w:r>
        <w:t>5.4.3 批次管理</w:t>
      </w:r>
    </w:p>
    <w:p>
      <w:pPr>
        <w:pStyle w:val="ListBullet"/>
      </w:pPr>
      <w:r>
        <w:t>按批次组织生产</w:t>
      </w:r>
    </w:p>
    <w:p>
      <w:pPr>
        <w:pStyle w:val="ListBullet"/>
      </w:pPr>
      <w:r>
        <w:t>批次号规则：年月日 + 流水号</w:t>
      </w:r>
    </w:p>
    <w:p>
      <w:pPr>
        <w:pStyle w:val="ListBullet"/>
      </w:pPr>
      <w:r>
        <w:t>同批次产品集中存放</w:t>
      </w:r>
    </w:p>
    <w:p>
      <w:pPr>
        <w:pStyle w:val="Heading2"/>
      </w:pPr>
      <w:r>
        <w:t>5.5 标识保护</w:t>
      </w:r>
    </w:p>
    <w:p>
      <w:pPr>
        <w:pStyle w:val="ListBullet"/>
      </w:pPr>
      <w:r>
        <w:t>标识应清晰、牢固</w:t>
      </w:r>
    </w:p>
    <w:p>
      <w:pPr>
        <w:pStyle w:val="ListBullet"/>
      </w:pPr>
      <w:r>
        <w:t>防止标识脱落、模糊</w:t>
      </w:r>
    </w:p>
    <w:p>
      <w:pPr>
        <w:pStyle w:val="ListBullet"/>
      </w:pPr>
      <w:r>
        <w:t>标识损坏及时补标识</w:t>
      </w:r>
    </w:p>
    <w:p>
      <w:pPr>
        <w:pStyle w:val="Heading2"/>
      </w:pPr>
      <w:r>
        <w:t>5.6 追溯实施</w:t>
      </w:r>
    </w:p>
    <w:p>
      <w:pPr>
        <w:pStyle w:val="Heading3"/>
      </w:pPr>
      <w:r>
        <w:t>5.6.1 正常追溯</w:t>
      </w:r>
    </w:p>
    <w:p>
      <w:pPr>
        <w:pStyle w:val="ListBullet"/>
      </w:pPr>
      <w:r>
        <w:t>定期演练追溯系统</w:t>
      </w:r>
    </w:p>
    <w:p>
      <w:pPr>
        <w:pStyle w:val="ListBullet"/>
      </w:pPr>
      <w:r>
        <w:t>确保追溯信息完整</w:t>
      </w:r>
    </w:p>
    <w:p>
      <w:pPr>
        <w:pStyle w:val="Heading3"/>
      </w:pPr>
      <w:r>
        <w:t>5.6.2 异常追溯</w:t>
      </w:r>
    </w:p>
    <w:p>
      <w:pPr>
        <w:pStyle w:val="ListBullet"/>
      </w:pPr>
      <w:r>
        <w:t>发现质量问题时启动追溯</w:t>
      </w:r>
    </w:p>
    <w:p>
      <w:pPr>
        <w:pStyle w:val="ListBullet"/>
      </w:pPr>
      <w:r>
        <w:t>追溯同批次产品</w:t>
      </w:r>
    </w:p>
    <w:p>
      <w:pPr>
        <w:pStyle w:val="ListBullet"/>
      </w:pPr>
      <w:r>
        <w:t>必要时召回产品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QP-002</w:t>
            </w:r>
          </w:p>
        </w:tc>
        <w:tc>
          <w:tcPr>
            <w:tcW w:type="dxa" w:w="4153"/>
          </w:tcPr>
          <w:p>
            <w:r>
              <w:t>记录控制程序</w:t>
            </w:r>
          </w:p>
        </w:tc>
      </w:tr>
      <w:tr>
        <w:tc>
          <w:tcPr>
            <w:tcW w:type="dxa" w:w="4153"/>
          </w:tcPr>
          <w:p>
            <w:r>
              <w:t>QP-008</w:t>
            </w:r>
          </w:p>
        </w:tc>
        <w:tc>
          <w:tcPr>
            <w:tcW w:type="dxa" w:w="4153"/>
          </w:tcPr>
          <w:p>
            <w:r>
              <w:t>生产过程控制程序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FM-087</w:t>
            </w:r>
          </w:p>
        </w:tc>
        <w:tc>
          <w:tcPr>
            <w:tcW w:type="dxa" w:w="2769"/>
          </w:tcPr>
          <w:p>
            <w:r>
              <w:t>产品追溯记录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FM-088</w:t>
            </w:r>
          </w:p>
        </w:tc>
        <w:tc>
          <w:tcPr>
            <w:tcW w:type="dxa" w:w="2769"/>
          </w:tcPr>
          <w:p>
            <w:r>
              <w:t>工序流转卡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FM-089</w:t>
            </w:r>
          </w:p>
        </w:tc>
        <w:tc>
          <w:tcPr>
            <w:tcW w:type="dxa" w:w="2769"/>
          </w:tcPr>
          <w:p>
            <w:r>
              <w:t>批次管理记录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FM-090</w:t>
            </w:r>
          </w:p>
        </w:tc>
        <w:tc>
          <w:tcPr>
            <w:tcW w:type="dxa" w:w="2769"/>
          </w:tcPr>
          <w:p>
            <w:r>
              <w:t>产品标识台账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A：标识和可追溯性流程图</w:t>
      </w:r>
    </w:p>
    <w:p>
      <w:r>
        <w:t>原材料标识 → 工序标识 → 检验状态标识 → 成品标识 → 追溯记录 → 追溯实施</w:t>
      </w:r>
    </w:p>
    <w:p>
      <w:pPr>
        <w:pStyle w:val="Heading2"/>
      </w:pPr>
      <w:r>
        <w:t>附录 B：批次号编制规则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内容</w:t>
            </w:r>
          </w:p>
        </w:tc>
        <w:tc>
          <w:tcPr>
            <w:tcW w:type="dxa" w:w="4153"/>
          </w:tcPr>
          <w:p>
            <w:r>
              <w:t>规则</w:t>
            </w:r>
          </w:p>
        </w:tc>
      </w:tr>
      <w:tr>
        <w:tc>
          <w:tcPr>
            <w:tcW w:type="dxa" w:w="4153"/>
          </w:tcPr>
          <w:p>
            <w:r>
              <w:t>批次号格式</w:t>
            </w:r>
          </w:p>
        </w:tc>
        <w:tc>
          <w:tcPr>
            <w:tcW w:type="dxa" w:w="4153"/>
          </w:tcPr>
          <w:p>
            <w:r>
              <w:t>YYYYMMDD-XXX</w:t>
            </w:r>
          </w:p>
        </w:tc>
      </w:tr>
      <w:tr>
        <w:tc>
          <w:tcPr>
            <w:tcW w:type="dxa" w:w="4153"/>
          </w:tcPr>
          <w:p>
            <w:r>
              <w:t>YYYYMMDD</w:t>
            </w:r>
          </w:p>
        </w:tc>
        <w:tc>
          <w:tcPr>
            <w:tcW w:type="dxa" w:w="4153"/>
          </w:tcPr>
          <w:p>
            <w:r>
              <w:t>生产日期</w:t>
            </w:r>
          </w:p>
        </w:tc>
      </w:tr>
      <w:tr>
        <w:tc>
          <w:tcPr>
            <w:tcW w:type="dxa" w:w="4153"/>
          </w:tcPr>
          <w:p>
            <w:r>
              <w:t>XXX</w:t>
            </w:r>
          </w:p>
        </w:tc>
        <w:tc>
          <w:tcPr>
            <w:tcW w:type="dxa" w:w="4153"/>
          </w:tcPr>
          <w:p>
            <w:r>
              <w:t>当日流水号 (001-999)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